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Grissinger Michael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ADICET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 DARTMOUTH STREET, FLOOR 3</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Adicet Bio, Inc.</w:t>
              </w:r>
            </w:hyperlink>
            <w:r>
              <w:rPr/>
              <w:t xml:space="preserve"> [ </w:t>
            </w:r>
            <w:r>
              <w:rPr>
                <w:rFonts w:ascii="Times;serif" w:hAnsi="Times;serif"/>
                <w:color w:val="0000FF"/>
                <w:sz w:val="24"/>
                <w:shd w:fill="FFFFFF" w:val="clear"/>
              </w:rPr>
              <w:t>ACET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06/20/2036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4,200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shall vest in full on the earlier to occur of (i) the first anniversary of the grant date or (ii) the date of the next annual meeting of stockholders following the grant date, subject to the Reporting Person's continued service on the Issuer's board of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Nick Harvey,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7601" TargetMode="External"/><Relationship Id="rId5" Type="http://schemas.openxmlformats.org/officeDocument/2006/relationships/hyperlink" Target="http://www.sec.gov/cgi-bin/browse-edgar?action=getcompany&amp;CIK=00017205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618</Words>
  <Characters>3318</Characters>
  <CharactersWithSpaces>3874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